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615C7A" w:rsidRPr="00615C7A">
        <w:rPr>
          <w:rFonts w:ascii="Times New Roman" w:eastAsiaTheme="minorHAnsi" w:hAnsi="Times New Roman"/>
          <w:sz w:val="24"/>
          <w:szCs w:val="24"/>
        </w:rPr>
        <w:t>0002108</w:t>
      </w:r>
      <w:bookmarkStart w:id="0" w:name="_GoBack"/>
      <w:bookmarkEnd w:id="0"/>
      <w:r w:rsidR="007131E4">
        <w:rPr>
          <w:rFonts w:ascii="Times New Roman" w:eastAsiaTheme="minorHAnsi" w:hAnsi="Times New Roman"/>
          <w:sz w:val="24"/>
          <w:szCs w:val="24"/>
        </w:rPr>
        <w:t xml:space="preserve"> </w:t>
      </w:r>
      <w:r w:rsidR="00F15504" w:rsidRPr="007131E4">
        <w:rPr>
          <w:rFonts w:ascii="Times New Roman" w:eastAsiaTheme="minorHAnsi" w:hAnsi="Times New Roman"/>
          <w:sz w:val="24"/>
          <w:szCs w:val="24"/>
        </w:rPr>
        <w:t xml:space="preserve"> </w:t>
      </w:r>
      <w:r w:rsidR="007131E4">
        <w:rPr>
          <w:rFonts w:ascii="Times New Roman" w:eastAsiaTheme="minorHAnsi" w:hAnsi="Times New Roman"/>
          <w:sz w:val="24"/>
          <w:szCs w:val="24"/>
        </w:rPr>
        <w:t>V</w:t>
      </w:r>
      <w:r w:rsidR="00F10BBC">
        <w:rPr>
          <w:rFonts w:ascii="Times New Roman" w:eastAsiaTheme="minorHAnsi" w:hAnsi="Times New Roman"/>
          <w:sz w:val="24"/>
          <w:szCs w:val="24"/>
        </w:rPr>
        <w:t>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BF60E2">
        <w:rPr>
          <w:rFonts w:ascii="Times New Roman" w:eastAsiaTheme="minorHAnsi" w:hAnsi="Times New Roman"/>
          <w:sz w:val="24"/>
          <w:szCs w:val="24"/>
        </w:rPr>
        <w:t>12</w:t>
      </w:r>
      <w:r w:rsidR="00FD020E">
        <w:rPr>
          <w:rFonts w:ascii="Times New Roman" w:eastAsiaTheme="minorHAnsi" w:hAnsi="Times New Roman"/>
          <w:sz w:val="24"/>
          <w:szCs w:val="24"/>
        </w:rPr>
        <w:t>/04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7C5BEC" w:rsidRPr="004A1647">
        <w:rPr>
          <w:rFonts w:ascii="Times New Roman" w:hAnsi="Times New Roman"/>
          <w:b/>
          <w:sz w:val="24"/>
          <w:szCs w:val="24"/>
        </w:rPr>
        <w:t xml:space="preserve">ATTIVITÀ DI ORIENTAMENTO DIPARTIMENTO DI ARCHITETTURA E TERRITORIO- </w:t>
      </w:r>
      <w:proofErr w:type="spellStart"/>
      <w:r w:rsidR="007C5BEC" w:rsidRPr="004A1647">
        <w:rPr>
          <w:rFonts w:ascii="Times New Roman" w:hAnsi="Times New Roman"/>
          <w:b/>
          <w:sz w:val="24"/>
          <w:szCs w:val="24"/>
        </w:rPr>
        <w:t>dArTe</w:t>
      </w:r>
      <w:proofErr w:type="spellEnd"/>
      <w:r w:rsidR="007C5BEC" w:rsidRPr="004A1647">
        <w:rPr>
          <w:rFonts w:ascii="Times New Roman" w:hAnsi="Times New Roman"/>
          <w:b/>
          <w:sz w:val="24"/>
          <w:szCs w:val="24"/>
        </w:rPr>
        <w:t xml:space="preserve"> – UNIVERSITÀ DEGLI STUDI MEDITERRANEA DI REGGIO CALABRIA –</w:t>
      </w:r>
      <w:r w:rsidR="007C5BE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5BEC">
        <w:rPr>
          <w:rFonts w:ascii="Times New Roman" w:hAnsi="Times New Roman"/>
          <w:b/>
          <w:sz w:val="24"/>
          <w:szCs w:val="24"/>
        </w:rPr>
        <w:t>Lunedì</w:t>
      </w:r>
      <w:proofErr w:type="gramEnd"/>
      <w:r w:rsidR="007C5BEC">
        <w:rPr>
          <w:rFonts w:ascii="Times New Roman" w:hAnsi="Times New Roman"/>
          <w:b/>
          <w:sz w:val="24"/>
          <w:szCs w:val="24"/>
        </w:rPr>
        <w:t xml:space="preserve"> 17 Aprile 2023 – Sala Conferenze.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4A1647">
        <w:rPr>
          <w:rFonts w:ascii="Times New Roman" w:hAnsi="Times New Roman"/>
          <w:sz w:val="24"/>
          <w:szCs w:val="24"/>
        </w:rPr>
        <w:t>la</w:t>
      </w:r>
      <w:r w:rsidR="00547CA0" w:rsidRPr="00E96C11">
        <w:rPr>
          <w:rFonts w:ascii="Times New Roman" w:hAnsi="Times New Roman"/>
          <w:sz w:val="24"/>
          <w:szCs w:val="24"/>
        </w:rPr>
        <w:t xml:space="preserve"> </w:t>
      </w:r>
      <w:r w:rsidR="004A1647">
        <w:rPr>
          <w:rFonts w:ascii="Times New Roman" w:hAnsi="Times New Roman"/>
          <w:sz w:val="24"/>
          <w:szCs w:val="24"/>
        </w:rPr>
        <w:t xml:space="preserve">Prof.ssa </w:t>
      </w:r>
      <w:r w:rsidR="00DD5C0F">
        <w:rPr>
          <w:rFonts w:ascii="Times New Roman" w:hAnsi="Times New Roman"/>
          <w:sz w:val="24"/>
          <w:szCs w:val="24"/>
        </w:rPr>
        <w:t xml:space="preserve">Antonella </w:t>
      </w:r>
      <w:proofErr w:type="spellStart"/>
      <w:r w:rsidR="00DD5C0F">
        <w:rPr>
          <w:rFonts w:ascii="Times New Roman" w:hAnsi="Times New Roman"/>
          <w:sz w:val="24"/>
          <w:szCs w:val="24"/>
        </w:rPr>
        <w:t>Sarl</w:t>
      </w:r>
      <w:r w:rsidR="004A1647">
        <w:rPr>
          <w:rFonts w:ascii="Times New Roman" w:hAnsi="Times New Roman"/>
          <w:sz w:val="24"/>
          <w:szCs w:val="24"/>
        </w:rPr>
        <w:t>o</w:t>
      </w:r>
      <w:proofErr w:type="spellEnd"/>
      <w:r w:rsidR="004A1647">
        <w:rPr>
          <w:rFonts w:ascii="Times New Roman" w:hAnsi="Times New Roman"/>
          <w:sz w:val="24"/>
          <w:szCs w:val="24"/>
        </w:rPr>
        <w:t xml:space="preserve">, docente di Urbanistica presso </w:t>
      </w:r>
      <w:r w:rsidR="004A1647" w:rsidRPr="004A1647">
        <w:rPr>
          <w:rFonts w:ascii="Times New Roman" w:hAnsi="Times New Roman"/>
          <w:sz w:val="24"/>
          <w:szCs w:val="24"/>
        </w:rPr>
        <w:t xml:space="preserve">il del </w:t>
      </w:r>
      <w:r w:rsidR="007C5BEC" w:rsidRPr="004A1647">
        <w:rPr>
          <w:rFonts w:ascii="Times New Roman" w:hAnsi="Times New Roman"/>
          <w:sz w:val="24"/>
          <w:szCs w:val="24"/>
        </w:rPr>
        <w:t xml:space="preserve">Dipartimento di Architettura e Territorio </w:t>
      </w:r>
      <w:r w:rsidR="004A1647" w:rsidRPr="004A1647">
        <w:rPr>
          <w:rFonts w:ascii="Times New Roman" w:hAnsi="Times New Roman"/>
          <w:sz w:val="24"/>
          <w:szCs w:val="24"/>
        </w:rPr>
        <w:t>–</w:t>
      </w:r>
      <w:r w:rsidR="007C5BEC" w:rsidRPr="004A1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EC" w:rsidRPr="004A1647">
        <w:rPr>
          <w:rFonts w:ascii="Times New Roman" w:hAnsi="Times New Roman"/>
          <w:sz w:val="24"/>
          <w:szCs w:val="24"/>
        </w:rPr>
        <w:t>dArTe</w:t>
      </w:r>
      <w:proofErr w:type="spellEnd"/>
      <w:r w:rsidR="004A1647" w:rsidRPr="004A1647">
        <w:rPr>
          <w:rFonts w:ascii="Times New Roman" w:hAnsi="Times New Roman"/>
          <w:sz w:val="24"/>
          <w:szCs w:val="24"/>
        </w:rPr>
        <w:t xml:space="preserve"> e</w:t>
      </w:r>
      <w:r w:rsidR="007C5BEC" w:rsidRPr="004A1647">
        <w:rPr>
          <w:rFonts w:ascii="Times New Roman" w:hAnsi="Times New Roman"/>
          <w:sz w:val="24"/>
          <w:szCs w:val="24"/>
        </w:rPr>
        <w:t xml:space="preserve"> </w:t>
      </w:r>
      <w:r w:rsidR="004A1647" w:rsidRPr="004A1647">
        <w:rPr>
          <w:rFonts w:ascii="Times New Roman" w:hAnsi="Times New Roman"/>
          <w:sz w:val="24"/>
          <w:szCs w:val="24"/>
        </w:rPr>
        <w:t xml:space="preserve">Responsabile dell’Orientamento </w:t>
      </w:r>
      <w:r w:rsidR="007C5BEC" w:rsidRPr="004A1647">
        <w:rPr>
          <w:rFonts w:ascii="Times New Roman" w:hAnsi="Times New Roman"/>
          <w:sz w:val="24"/>
          <w:szCs w:val="24"/>
        </w:rPr>
        <w:t>dell’Università degli Studi Mediterranea di Reggio Calabria</w:t>
      </w:r>
      <w:r w:rsidR="00547CA0" w:rsidRPr="004A1647">
        <w:rPr>
          <w:rFonts w:ascii="Times New Roman" w:hAnsi="Times New Roman"/>
          <w:sz w:val="24"/>
          <w:szCs w:val="24"/>
        </w:rPr>
        <w:t>,</w:t>
      </w:r>
      <w:r w:rsidR="00547CA0">
        <w:rPr>
          <w:rFonts w:ascii="Times New Roman" w:hAnsi="Times New Roman"/>
          <w:sz w:val="24"/>
          <w:szCs w:val="24"/>
        </w:rPr>
        <w:t xml:space="preserve"> </w:t>
      </w:r>
      <w:r w:rsidR="004A1647">
        <w:rPr>
          <w:rFonts w:ascii="Times New Roman" w:hAnsi="Times New Roman"/>
          <w:sz w:val="24"/>
          <w:szCs w:val="24"/>
        </w:rPr>
        <w:t>terrà</w:t>
      </w:r>
      <w:r w:rsidR="00A9187D">
        <w:rPr>
          <w:rFonts w:ascii="Times New Roman" w:hAnsi="Times New Roman"/>
          <w:sz w:val="24"/>
          <w:szCs w:val="24"/>
        </w:rPr>
        <w:t xml:space="preserve"> nella giornata di </w:t>
      </w:r>
      <w:r w:rsidR="007C5BEC">
        <w:rPr>
          <w:rFonts w:ascii="Times New Roman" w:hAnsi="Times New Roman"/>
          <w:sz w:val="24"/>
          <w:szCs w:val="24"/>
        </w:rPr>
        <w:t>lune</w:t>
      </w:r>
      <w:r w:rsidR="00A9187D">
        <w:rPr>
          <w:rFonts w:ascii="Times New Roman" w:hAnsi="Times New Roman"/>
          <w:sz w:val="24"/>
          <w:szCs w:val="24"/>
        </w:rPr>
        <w:t xml:space="preserve">dì </w:t>
      </w:r>
      <w:r w:rsidR="007C5BEC">
        <w:rPr>
          <w:rFonts w:ascii="Times New Roman" w:hAnsi="Times New Roman"/>
          <w:sz w:val="24"/>
          <w:szCs w:val="24"/>
        </w:rPr>
        <w:t>17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C5BEC">
        <w:rPr>
          <w:rFonts w:ascii="Times New Roman" w:hAnsi="Times New Roman"/>
          <w:sz w:val="24"/>
          <w:szCs w:val="24"/>
        </w:rPr>
        <w:t>Aprile</w:t>
      </w:r>
      <w:proofErr w:type="gramEnd"/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0426C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LUNEDì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17-04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(17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>) – 5^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b (21) – 5^ f (14) – </w:t>
            </w:r>
          </w:p>
          <w:p w:rsidR="006F78A0" w:rsidRPr="00BD4758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>52</w:t>
            </w:r>
          </w:p>
        </w:tc>
        <w:tc>
          <w:tcPr>
            <w:tcW w:w="2687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09,5</w:t>
            </w:r>
            <w:r w:rsidR="006F78A0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10,50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5^At (21) – 5^bt (14) – </w:t>
            </w:r>
            <w:r w:rsidR="006A7FFE">
              <w:rPr>
                <w:rFonts w:ascii="Algerian" w:eastAsia="Times New Roman" w:hAnsi="Algerian" w:cs="Bookman Old Style"/>
                <w:sz w:val="20"/>
                <w:szCs w:val="20"/>
              </w:rPr>
              <w:t>5^g (14)</w:t>
            </w:r>
          </w:p>
          <w:p w:rsidR="006A7FFE" w:rsidRPr="00BD4758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49</w:t>
            </w:r>
          </w:p>
        </w:tc>
        <w:tc>
          <w:tcPr>
            <w:tcW w:w="2687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12,15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5^o (18) – 5^N (16) – 5^A ITC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</w:t>
            </w:r>
          </w:p>
          <w:p w:rsidR="006A7FFE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55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="006A7FFE">
              <w:rPr>
                <w:rFonts w:ascii="Algerian" w:eastAsia="Times New Roman" w:hAnsi="Algerian" w:cs="Bookman Old Style"/>
                <w:sz w:val="20"/>
                <w:szCs w:val="20"/>
              </w:rPr>
              <w:t>,15 – 13,15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22220" w:rsidRPr="003F2BFF" w:rsidRDefault="00DD5C0F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La prof.ssa </w:t>
      </w:r>
      <w:proofErr w:type="spellStart"/>
      <w:r>
        <w:rPr>
          <w:rFonts w:ascii="Times New Roman" w:hAnsi="Times New Roman"/>
          <w:sz w:val="24"/>
          <w:szCs w:val="24"/>
        </w:rPr>
        <w:t>Sarl</w:t>
      </w:r>
      <w:r w:rsidR="004A1647">
        <w:rPr>
          <w:rFonts w:ascii="Times New Roman" w:hAnsi="Times New Roman"/>
          <w:sz w:val="24"/>
          <w:szCs w:val="24"/>
        </w:rPr>
        <w:t>o</w:t>
      </w:r>
      <w:proofErr w:type="spellEnd"/>
      <w:r w:rsidR="004A1647">
        <w:rPr>
          <w:rFonts w:ascii="Times New Roman" w:hAnsi="Times New Roman"/>
          <w:sz w:val="24"/>
          <w:szCs w:val="24"/>
        </w:rPr>
        <w:t xml:space="preserve"> descriverà i piani di studi dei vari corsi disponibili, racconterà la sua esperienza, il suo percorso di studi e presenterà dei lavori realizzati.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265C8D" w:rsidRPr="005C2981" w:rsidRDefault="00265C8D" w:rsidP="00265C8D">
      <w:pPr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5C2981">
        <w:rPr>
          <w:rFonts w:ascii="Times New Roman" w:hAnsi="Times New Roman"/>
          <w:b/>
          <w:sz w:val="24"/>
          <w:szCs w:val="24"/>
        </w:rPr>
        <w:t xml:space="preserve">Si ricordano gli obblighi di vigilanza. </w:t>
      </w:r>
    </w:p>
    <w:p w:rsidR="004F3788" w:rsidRPr="005C435B" w:rsidRDefault="004F3788" w:rsidP="00265C8D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7131E4" w:rsidRDefault="007131E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7131E4" w:rsidRPr="00BD2C2D" w:rsidRDefault="007131E4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0426C1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26C1"/>
    <w:rsid w:val="00075BE9"/>
    <w:rsid w:val="00085719"/>
    <w:rsid w:val="00097B59"/>
    <w:rsid w:val="000A1019"/>
    <w:rsid w:val="000A6DD3"/>
    <w:rsid w:val="000B08C1"/>
    <w:rsid w:val="000E5F6E"/>
    <w:rsid w:val="0011704E"/>
    <w:rsid w:val="001F7B8B"/>
    <w:rsid w:val="00203794"/>
    <w:rsid w:val="002416D2"/>
    <w:rsid w:val="0025547C"/>
    <w:rsid w:val="00265C8D"/>
    <w:rsid w:val="00265FFD"/>
    <w:rsid w:val="002774B9"/>
    <w:rsid w:val="00281954"/>
    <w:rsid w:val="002B210E"/>
    <w:rsid w:val="002F3F8C"/>
    <w:rsid w:val="0031796B"/>
    <w:rsid w:val="00352269"/>
    <w:rsid w:val="00390C62"/>
    <w:rsid w:val="00394CF4"/>
    <w:rsid w:val="003C0E9A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90682"/>
    <w:rsid w:val="004A1647"/>
    <w:rsid w:val="004F3788"/>
    <w:rsid w:val="0052014E"/>
    <w:rsid w:val="00547CA0"/>
    <w:rsid w:val="00580087"/>
    <w:rsid w:val="00592C03"/>
    <w:rsid w:val="005A2510"/>
    <w:rsid w:val="005B7212"/>
    <w:rsid w:val="005C4B74"/>
    <w:rsid w:val="005E492F"/>
    <w:rsid w:val="00606B1D"/>
    <w:rsid w:val="00614C32"/>
    <w:rsid w:val="00615C7A"/>
    <w:rsid w:val="00631E13"/>
    <w:rsid w:val="00633838"/>
    <w:rsid w:val="00635509"/>
    <w:rsid w:val="0064664F"/>
    <w:rsid w:val="00660EBF"/>
    <w:rsid w:val="006802FC"/>
    <w:rsid w:val="006A7FFE"/>
    <w:rsid w:val="006B6DA9"/>
    <w:rsid w:val="006B7A43"/>
    <w:rsid w:val="006F78A0"/>
    <w:rsid w:val="007131E4"/>
    <w:rsid w:val="007C5BEC"/>
    <w:rsid w:val="007E5B47"/>
    <w:rsid w:val="007F3C59"/>
    <w:rsid w:val="0083451A"/>
    <w:rsid w:val="008660F7"/>
    <w:rsid w:val="008C3151"/>
    <w:rsid w:val="008D6917"/>
    <w:rsid w:val="008E1CF7"/>
    <w:rsid w:val="00904654"/>
    <w:rsid w:val="00921156"/>
    <w:rsid w:val="009325E0"/>
    <w:rsid w:val="009917B0"/>
    <w:rsid w:val="009C498B"/>
    <w:rsid w:val="009F469A"/>
    <w:rsid w:val="00A169FE"/>
    <w:rsid w:val="00A76540"/>
    <w:rsid w:val="00A8794D"/>
    <w:rsid w:val="00A9187D"/>
    <w:rsid w:val="00A95B28"/>
    <w:rsid w:val="00AA760B"/>
    <w:rsid w:val="00AB1B39"/>
    <w:rsid w:val="00AB7474"/>
    <w:rsid w:val="00AD1AC8"/>
    <w:rsid w:val="00AD1B0A"/>
    <w:rsid w:val="00AF3A43"/>
    <w:rsid w:val="00B063BE"/>
    <w:rsid w:val="00B16718"/>
    <w:rsid w:val="00B215A7"/>
    <w:rsid w:val="00B21F3F"/>
    <w:rsid w:val="00B2718B"/>
    <w:rsid w:val="00B710F4"/>
    <w:rsid w:val="00B77EC7"/>
    <w:rsid w:val="00B93CF1"/>
    <w:rsid w:val="00BA1176"/>
    <w:rsid w:val="00BC00B5"/>
    <w:rsid w:val="00BD2C2D"/>
    <w:rsid w:val="00BF60E2"/>
    <w:rsid w:val="00C171D1"/>
    <w:rsid w:val="00C27224"/>
    <w:rsid w:val="00C47029"/>
    <w:rsid w:val="00C76098"/>
    <w:rsid w:val="00C845D3"/>
    <w:rsid w:val="00CA063C"/>
    <w:rsid w:val="00CA2516"/>
    <w:rsid w:val="00CA42E3"/>
    <w:rsid w:val="00CB7D44"/>
    <w:rsid w:val="00CC0DE8"/>
    <w:rsid w:val="00CF4048"/>
    <w:rsid w:val="00D44356"/>
    <w:rsid w:val="00D92BFE"/>
    <w:rsid w:val="00D954BF"/>
    <w:rsid w:val="00DD5C0F"/>
    <w:rsid w:val="00E15DD7"/>
    <w:rsid w:val="00E21EF0"/>
    <w:rsid w:val="00E357FC"/>
    <w:rsid w:val="00E3733E"/>
    <w:rsid w:val="00E5517F"/>
    <w:rsid w:val="00E734AF"/>
    <w:rsid w:val="00E745EE"/>
    <w:rsid w:val="00EA2352"/>
    <w:rsid w:val="00EB2655"/>
    <w:rsid w:val="00EB59E5"/>
    <w:rsid w:val="00F07C0D"/>
    <w:rsid w:val="00F10BBC"/>
    <w:rsid w:val="00F15504"/>
    <w:rsid w:val="00F37FCD"/>
    <w:rsid w:val="00F46E30"/>
    <w:rsid w:val="00FA4764"/>
    <w:rsid w:val="00FD020E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BA8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13</cp:revision>
  <cp:lastPrinted>2023-04-12T09:18:00Z</cp:lastPrinted>
  <dcterms:created xsi:type="dcterms:W3CDTF">2023-04-05T11:34:00Z</dcterms:created>
  <dcterms:modified xsi:type="dcterms:W3CDTF">2023-04-12T10:15:00Z</dcterms:modified>
</cp:coreProperties>
</file>